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3" w:rsidRDefault="00B33DB3" w:rsidP="00B33DB3">
      <w:pPr>
        <w:tabs>
          <w:tab w:val="left" w:pos="960"/>
        </w:tabs>
        <w:ind w:firstLine="0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B23B40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المصادر والمراجع:</w:t>
      </w:r>
    </w:p>
    <w:p w:rsidR="00B33DB3" w:rsidRDefault="00B33DB3" w:rsidP="00B33DB3">
      <w:pPr>
        <w:pStyle w:val="ListParagraph"/>
        <w:numPr>
          <w:ilvl w:val="0"/>
          <w:numId w:val="1"/>
        </w:numPr>
        <w:tabs>
          <w:tab w:val="left" w:pos="960"/>
        </w:tabs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المصادر:</w:t>
      </w:r>
    </w:p>
    <w:p w:rsidR="00B33DB3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 w:rsidRPr="00D80FEE">
        <w:rPr>
          <w:rFonts w:cs="Simplified Arabic" w:hint="cs"/>
          <w:sz w:val="28"/>
          <w:szCs w:val="28"/>
          <w:rtl/>
          <w:lang w:bidi="ar-JO"/>
        </w:rPr>
        <w:t>أدب الندماء</w:t>
      </w:r>
      <w:r>
        <w:rPr>
          <w:rFonts w:cs="Simplified Arabic" w:hint="cs"/>
          <w:sz w:val="28"/>
          <w:szCs w:val="28"/>
          <w:rtl/>
          <w:lang w:bidi="ar-JO"/>
        </w:rPr>
        <w:t xml:space="preserve"> ولطائف الظرفاء، كشاجم الرملي (360هـ/970م).</w:t>
      </w:r>
    </w:p>
    <w:p w:rsidR="00B33DB3" w:rsidRPr="00B23B40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الأغاني، أبو الفرج الأصفهاني (356هـ/965م).</w:t>
      </w:r>
    </w:p>
    <w:p w:rsidR="00B33DB3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الإمتاع والمؤانسة، أبو حيان التوحيدي (414هـ/1023م).</w:t>
      </w:r>
    </w:p>
    <w:p w:rsidR="00B33DB3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بهجة المجالس وأُنس المُجالس، ابن عبد البر (463هـ/1083م).</w:t>
      </w:r>
    </w:p>
    <w:p w:rsidR="00B33DB3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تزيين الأسواق في أخبار العشاق، داود الأنطاكي (1310هـ/1890م).</w:t>
      </w:r>
    </w:p>
    <w:p w:rsidR="00B33DB3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العقد الفريد، ابن عبد ربه (356هـ/965م).</w:t>
      </w:r>
    </w:p>
    <w:p w:rsidR="00B33DB3" w:rsidRPr="00D80FEE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المستطرف في كل فن مستظرف، الإبشيهي (852هـ/1448م).</w:t>
      </w:r>
    </w:p>
    <w:p w:rsidR="00B33DB3" w:rsidRDefault="00B33DB3" w:rsidP="00B33DB3">
      <w:pPr>
        <w:pStyle w:val="ListParagraph"/>
        <w:numPr>
          <w:ilvl w:val="0"/>
          <w:numId w:val="2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 w:rsidRPr="00B23B40">
        <w:rPr>
          <w:rFonts w:cs="Simplified Arabic" w:hint="cs"/>
          <w:sz w:val="28"/>
          <w:szCs w:val="28"/>
          <w:rtl/>
          <w:lang w:bidi="ar-JO"/>
        </w:rPr>
        <w:t xml:space="preserve">الموشّي، </w:t>
      </w:r>
      <w:r>
        <w:rPr>
          <w:rFonts w:cs="Simplified Arabic" w:hint="cs"/>
          <w:sz w:val="28"/>
          <w:szCs w:val="28"/>
          <w:rtl/>
          <w:lang w:bidi="ar-JO"/>
        </w:rPr>
        <w:t>أو الظرف والظرفاء، الوشاء (325هـ/936م).</w:t>
      </w:r>
    </w:p>
    <w:p w:rsidR="00B33DB3" w:rsidRDefault="00B33DB3" w:rsidP="00B33DB3">
      <w:pPr>
        <w:pStyle w:val="ListParagraph"/>
        <w:tabs>
          <w:tab w:val="left" w:pos="960"/>
        </w:tabs>
        <w:ind w:firstLine="0"/>
        <w:rPr>
          <w:rFonts w:cs="Simplified Arabic"/>
          <w:sz w:val="28"/>
          <w:szCs w:val="28"/>
          <w:lang w:bidi="ar-JO"/>
        </w:rPr>
      </w:pPr>
    </w:p>
    <w:p w:rsidR="00B33DB3" w:rsidRPr="00132321" w:rsidRDefault="00B33DB3" w:rsidP="00B33DB3">
      <w:pPr>
        <w:pStyle w:val="ListParagraph"/>
        <w:numPr>
          <w:ilvl w:val="0"/>
          <w:numId w:val="1"/>
        </w:numPr>
        <w:tabs>
          <w:tab w:val="left" w:pos="960"/>
        </w:tabs>
        <w:rPr>
          <w:rFonts w:cs="Simplified Arabic"/>
          <w:b/>
          <w:bCs/>
          <w:sz w:val="28"/>
          <w:szCs w:val="28"/>
          <w:lang w:bidi="ar-JO"/>
        </w:rPr>
      </w:pPr>
      <w:r w:rsidRPr="001323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المراجع: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أطروحات جمالية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محمد الجندي.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بدائع الحكمة: فصول في علم الجمال وفلسفة الفن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عبدالكريم اليافي.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تاريخ التفكير الجمالي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محمود الخضرة.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الجمال والفن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ماهر كامل.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الحسن والجمال في تاريخ الفن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راوية عباس.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الخبرة الجمالية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سعيد توفيق.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علم الجمال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غازي الخالدي.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علم الجمال بين الفلسفة والإبداع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إنصاف الربضي.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فلسفة الجمال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محمد أبو ريان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القيم الجمالية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راوية عبدالمنعم.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المدخل إلى علم الجمال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محمد عزيز سالم.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المدخل إلى فلسفة الجمال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مصطفى عبده.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المدخل في علم الجمال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هديل زكارنة.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مشكلة الفن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زكريا إبراهيم.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مفهوم الجمال في الفن والأدب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عدنان الرشيد.</w:t>
      </w:r>
    </w:p>
    <w:p w:rsidR="00B33DB3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مقدمة في علم الجمال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أميرة حلمي مطر.</w:t>
      </w:r>
    </w:p>
    <w:p w:rsidR="00B33DB3" w:rsidRPr="007C0067" w:rsidRDefault="00B33DB3" w:rsidP="00B33DB3">
      <w:pPr>
        <w:pStyle w:val="ListParagraph"/>
        <w:numPr>
          <w:ilvl w:val="0"/>
          <w:numId w:val="3"/>
        </w:numPr>
        <w:tabs>
          <w:tab w:val="left" w:pos="960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النقد والتذوق الجمالي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جاسم عبدالقادر.</w:t>
      </w:r>
    </w:p>
    <w:p w:rsidR="00B33DB3" w:rsidRDefault="00B33DB3" w:rsidP="00B33DB3">
      <w:pPr>
        <w:ind w:firstLine="0"/>
        <w:jc w:val="center"/>
        <w:rPr>
          <w:rFonts w:cs="Simplified Arabic"/>
          <w:b/>
          <w:bCs/>
          <w:sz w:val="28"/>
          <w:szCs w:val="28"/>
          <w:rtl/>
        </w:rPr>
      </w:pPr>
    </w:p>
    <w:p w:rsidR="00290108" w:rsidRDefault="00290108" w:rsidP="00B33DB3">
      <w:pPr>
        <w:jc w:val="right"/>
        <w:rPr>
          <w:rFonts w:hint="cs"/>
        </w:rPr>
      </w:pPr>
    </w:p>
    <w:sectPr w:rsidR="0029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FCA"/>
    <w:multiLevelType w:val="hybridMultilevel"/>
    <w:tmpl w:val="4C18C4DC"/>
    <w:lvl w:ilvl="0" w:tplc="EB9A1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B75"/>
    <w:multiLevelType w:val="hybridMultilevel"/>
    <w:tmpl w:val="9FE6DF86"/>
    <w:lvl w:ilvl="0" w:tplc="ADB6B398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7503"/>
    <w:multiLevelType w:val="hybridMultilevel"/>
    <w:tmpl w:val="3A26531A"/>
    <w:lvl w:ilvl="0" w:tplc="5A7CD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B3"/>
    <w:rsid w:val="00290108"/>
    <w:rsid w:val="00B33DB3"/>
    <w:rsid w:val="00E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3"/>
    <w:pPr>
      <w:bidi/>
      <w:spacing w:before="60"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3"/>
    <w:pPr>
      <w:bidi/>
      <w:spacing w:before="60"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2012-11-05T14:11:00Z</dcterms:created>
  <dcterms:modified xsi:type="dcterms:W3CDTF">2012-11-05T14:12:00Z</dcterms:modified>
</cp:coreProperties>
</file>